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PR-0035 · Tax</w:t>
      </w:r>
    </w:p>
    <w:p>
      <w:pPr>
        <w:pStyle w:val="Title"/>
      </w:pPr>
      <w:r>
        <w:t xml:space="preserve">Certainty in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taxpayer is entitled to know his liability in advance: the principle and its use against retrospective and vague levies.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w:t>
      </w:r>
    </w:p>
    <w:p>
      <w:pPr>
        <w:pStyle w:val="Bullet"/>
      </w:pPr>
      <w:r>
        <w:t xml:space="preserve">•  CIT v. Vatika Township (P) Ltd., (2015)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https://fpr.iura.in/principles/certainty-in-taxation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