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PR-0028 · Private International</w:t>
      </w:r>
    </w:p>
    <w:p>
      <w:pPr>
        <w:pStyle w:val="Title"/>
      </w:pPr>
      <w:r>
        <w:t xml:space="preserve">Comity of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Respect for foreign courts’ orders, especially in child custody, and why it yields to the welfare of the child.</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Surinder Kaur Sandhu v. Harbax Singh Sandhu, (1984) 3 SCC 698</w:t>
      </w:r>
    </w:p>
    <w:p>
      <w:pPr>
        <w:pStyle w:val="Bullet"/>
      </w:pPr>
      <w:r>
        <w:t xml:space="preserve">•  Nithya Anand Raghavan v. State (NCT of Delhi), (2017) 8 SCC 454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https://fpr.iura.in/principles/comity-of-courts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