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Principle · PR-0043 · Environment</w:t>
      </w:r>
    </w:p>
    <w:p>
      <w:pPr>
        <w:pStyle w:val="Title"/>
      </w:pPr>
      <w:r>
        <w:t xml:space="preserve">Common but Differentiated Responsibilities</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standard</w:t>
      </w:r>
    </w:p>
    <w:p>
      <w:pPr>
        <w:pStyle w:val="Guidance"/>
      </w:pPr>
      <w:r>
        <w:t xml:space="preserve">What the principle asks of a court or an authority.</w:t>
      </w:r>
    </w:p>
    <w:p/>
    <w:p>
      <w:pPr>
        <w:pStyle w:val="Heading1"/>
      </w:pPr>
      <w:r>
        <w:t xml:space="preserve">Its source</w:t>
      </w:r>
    </w:p>
    <w:p>
      <w:pPr>
        <w:pStyle w:val="Guidance"/>
      </w:pPr>
      <w:r>
        <w:t xml:space="preserve">The constitutional text, statute or line of cases it rests on.</w:t>
      </w:r>
    </w:p>
    <w:p/>
    <w:p>
      <w:pPr>
        <w:pStyle w:val="Heading1"/>
      </w:pPr>
      <w:r>
        <w:t xml:space="preserve">How much weight it gets</w:t>
      </w:r>
    </w:p>
    <w:p>
      <w:pPr>
        <w:pStyle w:val="Guidance"/>
      </w:pPr>
      <w:r>
        <w:t xml:space="preserve">Cases in which it decided the outcome, and cases in which it did not.</w:t>
      </w:r>
    </w:p>
    <w:p/>
    <w:p>
      <w:pPr>
        <w:pStyle w:val="Heading1"/>
      </w:pPr>
      <w:r>
        <w:t xml:space="preserve">When it gives way</w:t>
      </w:r>
    </w:p>
    <w:p>
      <w:pPr>
        <w:pStyle w:val="Guidance"/>
      </w:pPr>
      <w:r>
        <w:t xml:space="preserve">The competing principles and how courts have balanced them.</w:t>
      </w:r>
    </w:p>
    <w:p/>
    <w:p>
      <w:pPr>
        <w:pStyle w:val="Heading1"/>
      </w:pPr>
      <w:r>
        <w:t xml:space="preserve">What is unsettled</w:t>
      </w:r>
    </w:p>
    <w:p>
      <w:pPr>
        <w:pStyle w:val="Guidance"/>
      </w:pPr>
      <w:r>
        <w:t xml:space="preserve">Where its reach is still argued.</w:t>
      </w:r>
    </w:p>
    <w:p/>
    <w:p>
      <w:pPr>
        <w:pStyle w:val="Heading1"/>
      </w:pPr>
      <w:r>
        <w:t xml:space="preserve">Notes for the writer (delete before submitting)</w:t>
      </w:r>
    </w:p>
    <w:p>
      <w:pPr>
        <w:pStyle w:val="Guidance"/>
      </w:pPr>
      <w:r>
        <w:t xml:space="preserve">Scope of this entry. All States share responsibility for the global environment, in proportion to their contribution and capacity.</w:t>
      </w:r>
    </w:p>
    <w:p>
      <w:pPr>
        <w:pStyle w:val="Guidance"/>
      </w:pPr>
      <w:r>
        <w:t xml:space="preserve">Authorities to start from. These are places to begin, listed by the editors. Read each one in the original and check the citation before you rely on it.</w:t>
      </w:r>
    </w:p>
    <w:p>
      <w:pPr>
        <w:pStyle w:val="Bullet"/>
      </w:pPr>
      <w:r>
        <w:t xml:space="preserve">•  Rio Declaration on Environment and Development, princ. 7, U.N. Doc. A/CONF.151/26 (Vol. I) (1992)</w:t>
      </w:r>
    </w:p>
    <w:p>
      <w:pPr>
        <w:pStyle w:val="Bullet"/>
      </w:pPr>
      <w:r>
        <w:t xml:space="preserve">•  United Nations Framework Convention on Climate Change, art. 3, May 9, 1992, 1771 U.N.T.S. 107</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https://fpr.iura.in/principles/common-but-differentiated-responsibilities</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