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PR-0141 · International (Public)</w:t>
      </w:r>
    </w:p>
    <w:p>
      <w:pPr>
        <w:pStyle w:val="Title"/>
      </w:pPr>
      <w:r>
        <w:t xml:space="preserve">Common Heritage of Mankind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the deep seabed and its resources belong to no State and are to be used for the benefit of all.</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United Nations Convention on the Law of the Sea art. 136, Dec. 10, 1982, 1833 U.N.T.S. 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https://fpr.iura.in/principles/common-heritage-of-mankind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