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PR-0116 · Tax</w:t>
      </w:r>
    </w:p>
    <w:p>
      <w:pPr>
        <w:pStyle w:val="Title"/>
      </w:pPr>
      <w:r>
        <w:t xml:space="preserve">Consistency in Tax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though each assessment year stands alone, a settled position should not be changed without a change in facts or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Radhasoami Satsang v. CIT, (1992) 1 SCC 659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https://fpr.iura.in/principles/consistency-in-tax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