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PR-0111 · Competition</w:t>
      </w:r>
    </w:p>
    <w:p>
      <w:pPr>
        <w:pStyle w:val="Title"/>
      </w:pPr>
      <w:r>
        <w:t xml:space="preserve">Consumer Welfare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interest of consumers as the stated aim of competition law, and how it guides the Commission’s reading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preamble and §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https://fpr.iura.in/principles/consumer-welfare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