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PR-0174 · Banking</w:t>
      </w:r>
    </w:p>
    <w:p>
      <w:pPr>
        <w:pStyle w:val="Title"/>
      </w:pPr>
      <w:r>
        <w:t xml:space="preserve">Creditor in Control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shift made by the insolvency code, under which management passes from the debtor to a professional acting for the creditors.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Innoventive Industries Ltd. v. ICICI Bank, (2018) 1 SCC 407</w:t>
      </w:r>
    </w:p>
    <w:p>
      <w:pPr>
        <w:pStyle w:val="Bullet"/>
      </w:pPr>
      <w:r>
        <w:t xml:space="preserve">•  Swiss Ribbons (P) Ltd. v. Union of India, (2019) 4 SCC 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https://fpr.iura.in/principles/creditor-in-control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