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PR-0144 · International (Public)</w:t>
      </w:r>
    </w:p>
    <w:p>
      <w:pPr>
        <w:pStyle w:val="Title"/>
      </w:pPr>
      <w:r>
        <w:t xml:space="preserve">Double Criminality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requirement that the conduct for which extradition is sought be an offence in both States.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Extradition Act, 1962, § 2(c)</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https://fpr.iura.in/principles/double-criminality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