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PR-0004 · Administrative</w:t>
      </w:r>
    </w:p>
    <w:p>
      <w:pPr>
        <w:pStyle w:val="Title"/>
      </w:pPr>
      <w:r>
        <w:t xml:space="preserve">The Duty to Give Reasons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Whether a decision-maker must explain itself: the reasoned order as a third principle of natural justice.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S.N. Mukherjee v. Union of India, (1990) 4 SCC 594</w:t>
      </w:r>
    </w:p>
    <w:p>
      <w:pPr>
        <w:pStyle w:val="Bullet"/>
      </w:pPr>
      <w:r>
        <w:t xml:space="preserve">•  Kranti Associates (P) Ltd. v. Masood Ahmed Khan, (2010) 9 SCC 496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https://fpr.iura.in/principles/duty-to-give-reasons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