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PR-0150 · Human Rights</w:t>
      </w:r>
    </w:p>
    <w:p>
      <w:pPr>
        <w:pStyle w:val="Title"/>
      </w:pPr>
      <w:r>
        <w:t xml:space="preserve">The State’s Duty to Protect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positive duty of the State to guard persons against violence by others, as applied to mob violence.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Tehseen S. Poonawalla v. Union of India, (2018) 9 SCC 501</w:t>
      </w:r>
    </w:p>
    <w:p>
      <w:pPr>
        <w:pStyle w:val="Bullet"/>
      </w:pPr>
      <w:r>
        <w:t xml:space="preserve">•  National Human Rights Commission v. State of Arunachal Pradesh, (1996) 1 SCC 742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https://fpr.iura.in/principles/duty-to-protect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