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PR-0108 · Corporate</w:t>
      </w:r>
    </w:p>
    <w:p>
      <w:pPr>
        <w:pStyle w:val="Title"/>
      </w:pPr>
      <w:r>
        <w:t xml:space="preserve">Duty to Stakeholders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 director’s duty to act in the interest of the company, its employees, shareholders, the community and the environment together.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166(2)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https://fpr.iura.in/principles/duty-to-stakeholders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