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PR-0129 · Environment</w:t>
      </w:r>
    </w:p>
    <w:p>
      <w:pPr>
        <w:pStyle w:val="Title"/>
      </w:pPr>
      <w:r>
        <w:t xml:space="preserve">Environmental Rule of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idea that environmental decisions must rest on honest disclosure, sound science and accountable institutions.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Hanuman Laxman Aroskar v. Union of India, (2019) 15 SCC 401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https://fpr.iura.in/principles/environmental-rule-of-law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