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PR-0027 · Labour</w:t>
      </w:r>
    </w:p>
    <w:p>
      <w:pPr>
        <w:pStyle w:val="Title"/>
      </w:pPr>
      <w:r>
        <w:t xml:space="preserve">Equal Pay for Equal Work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directive principle turned into an enforceable claim through Articles 14 and 16, and its extension to temporary workers.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Randhir Singh v. Union of India, (1982) 1 SCC 618</w:t>
      </w:r>
    </w:p>
    <w:p>
      <w:pPr>
        <w:pStyle w:val="Bullet"/>
      </w:pPr>
      <w:r>
        <w:t xml:space="preserve">•  State of Punjab v. Jagjit Singh, (2017) 1 SCC 148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https://fpr.iura.in/principles/equal-pay-for-equal-work</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