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PR-0014 · Criminal</w:t>
      </w:r>
    </w:p>
    <w:p>
      <w:pPr>
        <w:pStyle w:val="Title"/>
      </w:pPr>
      <w:r>
        <w:t xml:space="preserve">Fair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Fairness to the accused, the victim and society as a component of Article 21, and the remedies of retrial and transfer.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Zahira Habibulla H. Sheikh v. State of Gujarat, (2004) 4 SCC 158</w:t>
      </w:r>
    </w:p>
    <w:p>
      <w:pPr>
        <w:pStyle w:val="Bullet"/>
      </w:pPr>
      <w:r>
        <w:t xml:space="preserve">•  Hussainara Khatoon v. State of Bihar, (1980) 1 SCC 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https://fpr.iura.in/principles/fair-trial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