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PR-0091 · Civil Procedure</w:t>
      </w:r>
    </w:p>
    <w:p>
      <w:pPr>
        <w:pStyle w:val="Title"/>
      </w:pPr>
      <w:r>
        <w:t xml:space="preserve">Finality of Litigation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public interest in bringing disputes to an end, and how it is weighed against the wish to correct error.</w:t>
      </w:r>
    </w:p>
    <w:p>
      <w:pPr>
        <w:pStyle w:val="Guidance"/>
      </w:pPr>
      <w:r>
        <w:t xml:space="preserve">Authorities to start from. These are places to begin, listed by the editors. Read each one in the original and check the citation before you rely on it.</w:t>
      </w:r>
    </w:p>
    <w:p>
      <w:pPr>
        <w:pStyle w:val="Bullet"/>
      </w:pPr>
      <w:r>
        <w:t xml:space="preserve">•  Rupa Ashok Hurra v. Ashok Hurra, (2002) 4 SCC 388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https://fpr.iura.in/principles/finality-of-litigation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