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PR-0032 · Family</w:t>
      </w:r>
    </w:p>
    <w:p>
      <w:pPr>
        <w:pStyle w:val="Title"/>
      </w:pPr>
      <w:r>
        <w:t xml:space="preserve">Equality in Succession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Reading succession statutes to remove discrimination against women: daughters, widows and tribal women.</w:t>
      </w:r>
    </w:p>
    <w:p>
      <w:pPr>
        <w:pStyle w:val="Guidance"/>
      </w:pPr>
      <w:r>
        <w:t xml:space="preserve">Authorities to start from. These are places to begin, listed by the editors. Read each one in the original and check the citation before you rely on it.</w:t>
      </w:r>
    </w:p>
    <w:p>
      <w:pPr>
        <w:pStyle w:val="Bullet"/>
      </w:pPr>
      <w:r>
        <w:t xml:space="preserve">•  Vineeta Sharma v. Rakesh Sharma, (2020) 9 SCC 1</w:t>
      </w:r>
    </w:p>
    <w:p>
      <w:pPr>
        <w:pStyle w:val="Bullet"/>
      </w:pPr>
      <w:r>
        <w:t xml:space="preserve">•  Mary Roy v. State of Kerala, (1986) 2 SCC 209</w:t>
      </w:r>
    </w:p>
    <w:p>
      <w:pPr>
        <w:pStyle w:val="Bullet"/>
      </w:pPr>
      <w:r>
        <w:t xml:space="preserve">•  Madhu Kishwar v. State of Bihar, (1996) 5 SCC 125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https://fpr.iura.in/principles/gender-justice-in-succession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