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PR-0017 · Evidence</w:t>
      </w:r>
    </w:p>
    <w:p>
      <w:pPr>
        <w:pStyle w:val="Title"/>
      </w:pPr>
      <w:r>
        <w:t xml:space="preserve">The Rule against Hearsay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Oral evidence must be direct: the rule in section 60, its rationale, and the exceptions scattered through the Act.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32, 60</w:t>
      </w:r>
    </w:p>
    <w:p>
      <w:pPr>
        <w:pStyle w:val="Bullet"/>
      </w:pPr>
      <w:r>
        <w:t xml:space="preserve">•  Kalyan Kumar Gogoi v. Ashutosh Agnihotri, (2011) 2 SCC 532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https://fpr.iura.in/principles/hearsay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