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PR-0165 · Civil Procedure</w:t>
      </w:r>
    </w:p>
    <w:p>
      <w:pPr>
        <w:pStyle w:val="Title"/>
      </w:pPr>
      <w:r>
        <w:t xml:space="preserve">The Law Does Not Compel the Impossible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maxim that a person is excused from doing what circumstances beyond their control made impossible.</w:t>
      </w:r>
    </w:p>
    <w:p>
      <w:pPr>
        <w:pStyle w:val="Guidance"/>
      </w:pPr>
      <w:r>
        <w:t xml:space="preserve">Authorities to start from. These are places to begin, listed by the editors. Read each one in the original and check the citation before you rely on it.</w:t>
      </w:r>
    </w:p>
    <w:p>
      <w:pPr>
        <w:pStyle w:val="Bullet"/>
      </w:pPr>
      <w:r>
        <w:t xml:space="preserve">•  Raj Kumar Dey v. Tarapada Dey, (1987) 4 SCC 398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https://fpr.iura.in/principles/impossibility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