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PR-0176 · Labour</w:t>
      </w:r>
    </w:p>
    <w:p>
      <w:pPr>
        <w:pStyle w:val="Title"/>
      </w:pPr>
      <w:r>
        <w:t xml:space="preserve">Industrial Adjudication beyond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power of an industrial tribunal to create new rights and obligations between employer and workmen.</w:t>
      </w:r>
    </w:p>
    <w:p>
      <w:pPr>
        <w:pStyle w:val="Guidance"/>
      </w:pPr>
      <w:r>
        <w:t xml:space="preserve">Authorities to start from. These are places to begin, listed by the editors. Read each one in the original and check the citation before you rely on it.</w:t>
      </w:r>
    </w:p>
    <w:p>
      <w:pPr>
        <w:pStyle w:val="Bullet"/>
      </w:pPr>
      <w:r>
        <w:t xml:space="preserve">•  Western India Automobile Assn. v. Industrial Tribunal, AIR 1949 FC 111</w:t>
      </w:r>
    </w:p>
    <w:p>
      <w:pPr>
        <w:pStyle w:val="Bullet"/>
      </w:pPr>
      <w:r>
        <w:t xml:space="preserve">•  Bharat Bank Ltd. v. Employees, AIR 1950 SC 188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https://fpr.iura.in/principles/industrial-adjudication-beyond-contract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