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PR-0099 · Tort</w:t>
      </w:r>
    </w:p>
    <w:p>
      <w:pPr>
        <w:pStyle w:val="Title"/>
      </w:pPr>
      <w:r>
        <w:t xml:space="preserve">Injuria Sine Damno and Damnum Sine Injuria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two maxims that mark the limits of tort: a legal wrong is actionable without loss, and loss without a legal wrong is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Ashby v. White, (1703) 2 Ld. Raym. 938</w:t>
      </w:r>
    </w:p>
    <w:p>
      <w:pPr>
        <w:pStyle w:val="Bullet"/>
      </w:pPr>
      <w:r>
        <w:t xml:space="preserve">•  Mayor of Bradford v. Pickles, [1895] AC 587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https://fpr.iura.in/principles/injuria-sine-damno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