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PR-0175 · Banking</w:t>
      </w:r>
    </w:p>
    <w:p>
      <w:pPr>
        <w:pStyle w:val="Title"/>
      </w:pPr>
      <w:r>
        <w:t xml:space="preserve">Insolvency Is Not a Recovery Proceeding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insolvency process exists to revive the company and may not be used as a means of collecting a debt.</w:t>
      </w:r>
    </w:p>
    <w:p>
      <w:pPr>
        <w:pStyle w:val="Guidance"/>
      </w:pPr>
      <w:r>
        <w:t xml:space="preserve">Authorities to start from. These are places to begin, listed by the editors. Read each one in the original and check the citation before you rely on it.</w:t>
      </w:r>
    </w:p>
    <w:p>
      <w:pPr>
        <w:pStyle w:val="Bullet"/>
      </w:pPr>
      <w:r>
        <w:t xml:space="preserve">•  Swiss Ribbons (P) Ltd. v. Union of India, (2019) 4 SCC 17</w:t>
      </w:r>
    </w:p>
    <w:p>
      <w:pPr>
        <w:pStyle w:val="Bullet"/>
      </w:pPr>
      <w:r>
        <w:t xml:space="preserve">•  Mobilox Innovations (P) Ltd. v. Kirusa Software (P) Ltd., (2018) 1 SCC 353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https://fpr.iura.in/principles/insolvency-is-not-recovery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