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PR-0055 · Constitutional</w:t>
      </w:r>
    </w:p>
    <w:p>
      <w:pPr>
        <w:pStyle w:val="Title"/>
      </w:pPr>
      <w:r>
        <w:t xml:space="preserve">Institutional Integrity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standard that an appointment to a watchdog office must protect the standing of the institution, not only suit the individual.</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Centre for PIL v. Union of India, (2011) 4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https://fpr.iura.in/principles/institutional-integrity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