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PR-0021 · Environment</w:t>
      </w:r>
    </w:p>
    <w:p>
      <w:pPr>
        <w:pStyle w:val="Title"/>
      </w:pPr>
      <w:r>
        <w:t xml:space="preserve">Intergenerational Equity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present generation holds natural resources in trust for the next: its use in mining and forest cases.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H.P. v. Ganesh Wood Products, (1995) 6 SCC 363</w:t>
      </w:r>
    </w:p>
    <w:p>
      <w:pPr>
        <w:pStyle w:val="Bullet"/>
      </w:pPr>
      <w:r>
        <w:t xml:space="preserve">•  Goa Foundation v. Union of India, (2014) 6 SCC 590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https://fpr.iura.in/principles/intergenerational-equity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