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PR-0054 · Constitutional</w:t>
      </w:r>
    </w:p>
    <w:p>
      <w:pPr>
        <w:pStyle w:val="Title"/>
      </w:pPr>
      <w:r>
        <w:t xml:space="preserve">Judicial Restraint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view that courts should not take over the work of the legislature or the executive, and its tension with the Court’s own activism.</w:t>
      </w:r>
    </w:p>
    <w:p>
      <w:pPr>
        <w:pStyle w:val="Guidance"/>
      </w:pPr>
      <w:r>
        <w:t xml:space="preserve">Authorities to start from. These are places to begin, listed by the editors. Read each one in the original and check the citation before you rely on it.</w:t>
      </w:r>
    </w:p>
    <w:p>
      <w:pPr>
        <w:pStyle w:val="Bullet"/>
      </w:pPr>
      <w:r>
        <w:t xml:space="preserve">•  Divisional Manager, Aravali Golf Club v. Chander Hass, (2008) 1 SCC 683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https://fpr.iura.in/principles/judicial-restraint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