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PR-0045 · Legal History</w:t>
      </w:r>
    </w:p>
    <w:p>
      <w:pPr>
        <w:pStyle w:val="Title"/>
      </w:pPr>
      <w:r>
        <w:t xml:space="preserve">Justice, Equity and Good Conscience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residual rule by which British Indian courts filled gaps in the law, and how it brought English law into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Waghela Rajsanji v. Shekh Masludin, (1887) 14 IA 89</w:t>
      </w:r>
    </w:p>
    <w:p>
      <w:pPr>
        <w:pStyle w:val="Bullet"/>
      </w:pPr>
      <w:r>
        <w:t xml:space="preserve">•  Rattan Lal v. Vardesh Chander, (1976) 2 SCC 103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https://fpr.iura.in/principles/justice-equity-good-conscience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