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PR-0164 · Private International</w:t>
      </w:r>
    </w:p>
    <w:p>
      <w:pPr>
        <w:pStyle w:val="Title"/>
      </w:pPr>
      <w:r>
        <w:t xml:space="preserve">Lex Loci Celebrationis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the formal validity of a marriage is governed by the law of the place where it was celebrated.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Foreign Marriage Act, 1969, § 23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https://fpr.iura.in/principles/lex-loci-celebrationis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