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PR-0105 · Corporate</w:t>
      </w:r>
    </w:p>
    <w:p>
      <w:pPr>
        <w:pStyle w:val="Title"/>
      </w:pPr>
      <w:r>
        <w:t xml:space="preserve">Limited Liability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a shareholder’s loss is limited to the amount unpaid on their shares, and why the law grants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Salomon v. A. Salomon &amp; Co. Ltd., [1897] AC 22</w:t>
      </w:r>
    </w:p>
    <w:p>
      <w:pPr>
        <w:pStyle w:val="Bullet"/>
      </w:pPr>
      <w:r>
        <w:t xml:space="preserve">•  Companies Act, 2013, §§ 2(22), 4(1)(d)</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https://fpr.iura.in/principles/limited-liability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