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PR-0039 · Banking</w:t>
      </w:r>
    </w:p>
    <w:p>
      <w:pPr>
        <w:pStyle w:val="Title"/>
      </w:pPr>
      <w:r>
        <w:t xml:space="preserve">Maximisation of Value in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Insolvency Code aims to revive the company and maximise the value of its assets; liquidation is the last resort.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Swiss Ribbons (P) Ltd. v. Union of India, (2019) 4 SCC 17</w:t>
      </w:r>
    </w:p>
    <w:p>
      <w:pPr>
        <w:pStyle w:val="Bullet"/>
      </w:pPr>
      <w:r>
        <w:t xml:space="preserve">•  Insolvency and Bankruptcy Code, 2016, preamble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https://fpr.iura.in/principles/maximisation-of-value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