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PR-0145 · Private International</w:t>
      </w:r>
    </w:p>
    <w:p>
      <w:pPr>
        <w:pStyle w:val="Title"/>
      </w:pPr>
      <w:r>
        <w:t xml:space="preserve">Mobilia Sequuntur Personam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succession to movables follows the law of the deceased’s domicile, while immovables follow the law of the place.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https://fpr.iura.in/principles/mobilia-sequuntur-personam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