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PR-0142 · International (Public)</w:t>
      </w:r>
    </w:p>
    <w:p>
      <w:pPr>
        <w:pStyle w:val="Title"/>
      </w:pPr>
      <w:r>
        <w:t xml:space="preserve">Most-Favoured-Nation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of trade law that an advantage given to one member must be given to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I, Oct. 30, 1947, 55 U.N.T.S.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https://fpr.iura.in/principles/most-favoured-nation-treatment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