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PR-0143 · International (Public)</w:t>
      </w:r>
    </w:p>
    <w:p>
      <w:pPr>
        <w:pStyle w:val="Title"/>
      </w:pPr>
      <w:r>
        <w:t xml:space="preserve">National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imported goods, once inside the border, be treated no worse than like domestic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III, Oct. 30, 1947, 55 U.N.T.S.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https://fpr.iura.in/principles/national-treatment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