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PR-0131 · International (Public)</w:t>
      </w:r>
    </w:p>
    <w:p>
      <w:pPr>
        <w:pStyle w:val="Title"/>
      </w:pPr>
      <w:r>
        <w:t xml:space="preserve">No-Harm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a State not to allow its territory to be used so as to cause serious damage in another State.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Trail Smelter Arbitration (U.S. v. Can.), 3 R.I.A.A. 1905 (1941)</w:t>
      </w:r>
    </w:p>
    <w:p>
      <w:pPr>
        <w:pStyle w:val="Bullet"/>
      </w:pPr>
      <w:r>
        <w:t xml:space="preserve">•  Rio Declaration on Environment and Development, princ. 2, U.N. Doc. A/CONF.151/26 (Vol. I) (1992)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https://fpr.iura.in/principles/no-harm-rule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