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PR-0148 · Human Rights</w:t>
      </w:r>
    </w:p>
    <w:p>
      <w:pPr>
        <w:pStyle w:val="Title"/>
      </w:pPr>
      <w:r>
        <w:t xml:space="preserve">Non-Derogable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Rights that cannot be suspended even in an emergency, in the Covenant and, since 1978, in the Constitution.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International Covenant on Civil and Political Rights, art. 4, Dec. 16, 1966, 999 U.N.T.S. 171</w:t>
      </w:r>
    </w:p>
    <w:p>
      <w:pPr>
        <w:pStyle w:val="Bullet"/>
      </w:pPr>
      <w:r>
        <w:t xml:space="preserve">•  India Const. art. 359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https://fpr.iura.in/principles/non-derogable-rights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