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PR-0073 · Criminal</w:t>
      </w:r>
    </w:p>
    <w:p>
      <w:pPr>
        <w:pStyle w:val="Title"/>
      </w:pPr>
      <w:r>
        <w:t xml:space="preserve">Notice to the Informant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magistrate must hear the informant before accepting a police report that no offence is made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Bhagwant Singh v. Commr. of Police, (1985) 2 SCC 537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https://fpr.iura.in/principles/notice-to-the-informant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