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PR-0114 · Banking</w:t>
      </w:r>
    </w:p>
    <w:p>
      <w:pPr>
        <w:pStyle w:val="Title"/>
      </w:pPr>
      <w:r>
        <w:t xml:space="preserve">Pari Passu Distribution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creditors of the same class share rateably in an insolvent estate, and the statutory exceptions.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53</w:t>
      </w:r>
    </w:p>
    <w:p>
      <w:pPr>
        <w:pStyle w:val="Bullet"/>
      </w:pPr>
      <w:r>
        <w:t xml:space="preserve">•  Companies Act, 2013, § 326</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https://fpr.iura.in/principles/pari-passu-distribution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