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PR-0022 · Arbitration</w:t>
      </w:r>
    </w:p>
    <w:p>
      <w:pPr>
        <w:pStyle w:val="Title"/>
      </w:pPr>
      <w:r>
        <w:t xml:space="preserve">Party Autonomy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parties’ freedom to choose the law, seat, procedure and tribunal, and the mandatory provisions that limit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 Aluminium Co. v. Kaiser Aluminium Technical Services Inc., (2012) 9 SCC 552</w:t>
      </w:r>
    </w:p>
    <w:p>
      <w:pPr>
        <w:pStyle w:val="Bullet"/>
      </w:pPr>
      <w:r>
        <w:t xml:space="preserve">•  PASL Wind Solutions (P) Ltd. v. GE Power Conversion India (P) Ltd., (2021) 7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https://fpr.iura.in/principles/party-autonomy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