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PR-0163 · International (Public)</w:t>
      </w:r>
    </w:p>
    <w:p>
      <w:pPr>
        <w:pStyle w:val="Title"/>
      </w:pPr>
      <w:r>
        <w:t xml:space="preserve">Permanent Sovereignty over Natural Resources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of peoples and States to control and use the natural wealth of their territory.</w:t>
      </w:r>
    </w:p>
    <w:p>
      <w:pPr>
        <w:pStyle w:val="Guidance"/>
      </w:pPr>
      <w:r>
        <w:t xml:space="preserve">Authorities to start from. These are places to begin, listed by the editors. Read each one in the original and check the citation before you rely on it.</w:t>
      </w:r>
    </w:p>
    <w:p>
      <w:pPr>
        <w:pStyle w:val="Bullet"/>
      </w:pPr>
      <w:r>
        <w:t xml:space="preserve">•  G.A. Res. 1803 (XVII), Permanent Sovereignty over Natural Resources (Dec. 14, 1962)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https://fpr.iura.in/principles/permanent-sovereignty-over-natural-resources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