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PR-0019 · Environment</w:t>
      </w:r>
    </w:p>
    <w:p>
      <w:pPr>
        <w:pStyle w:val="Title"/>
      </w:pPr>
      <w:r>
        <w:t xml:space="preserve">Polluter Pays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polluter bears the cost of both compensating victims and restoring the environment: how Indian courts quantify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Council for Enviro-Legal Action v. Union of India, (1996) 3 SCC 212</w:t>
      </w:r>
    </w:p>
    <w:p>
      <w:pPr>
        <w:pStyle w:val="Bullet"/>
      </w:pPr>
      <w:r>
        <w:t xml:space="preserve">•  Vellore Citizens’ Welfare Forum v. Union of India, (1996) 5 SCC 647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https://fpr.iura.in/principles/polluter-pays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