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PR-0018 · Environment</w:t>
      </w:r>
    </w:p>
    <w:p>
      <w:pPr>
        <w:pStyle w:val="Title"/>
      </w:pPr>
      <w:r>
        <w:t xml:space="preserve">The Precautionary Principle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Act against serious environmental harm before scientific certainty, with the burden on the developer.</w:t>
      </w:r>
    </w:p>
    <w:p>
      <w:pPr>
        <w:pStyle w:val="Guidance"/>
      </w:pPr>
      <w:r>
        <w:t xml:space="preserve">Authorities to start from. These are places to begin, listed by the editors. Read each one in the original and check the citation before you rely on it.</w:t>
      </w:r>
    </w:p>
    <w:p>
      <w:pPr>
        <w:pStyle w:val="Bullet"/>
      </w:pPr>
      <w:r>
        <w:t xml:space="preserve">•  Vellore Citizens’ Welfare Forum v. Union of India, (1996) 5 SCC 647</w:t>
      </w:r>
    </w:p>
    <w:p>
      <w:pPr>
        <w:pStyle w:val="Bullet"/>
      </w:pPr>
      <w:r>
        <w:t xml:space="preserve">•  A.P. Pollution Control Board v. Prof. M.V. Nayudu, (1999) 2 SCC 718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https://fpr.iura.in/principles/precautionary-principle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