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PR-0149 · Human Rights</w:t>
      </w:r>
    </w:p>
    <w:p>
      <w:pPr>
        <w:pStyle w:val="Title"/>
      </w:pPr>
      <w:r>
        <w:t xml:space="preserve">Progressive Realisation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duty to move steadily towards full social and economic rights within available resources.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International Covenant on Economic, Social and Cultural Rights, art. 2(1), Dec. 16, 1966, 993 U.N.T.S.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https://fpr.iura.in/principles/progressive-realisation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