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PR-0068 · Criminal</w:t>
      </w:r>
    </w:p>
    <w:p>
      <w:pPr>
        <w:pStyle w:val="Title"/>
      </w:pPr>
      <w:r>
        <w:t xml:space="preserve">Proportionality in Sentencing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requirement that punishment fit the gravity of the crime and the blame of the offender, in the absence of guidelines.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Alister Anthony Pareira v. State of Maharashtra, (2012) 2 SCC 648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https://fpr.iura.in/principles/proportionality-in-sentencing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