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PR-0040 · IP</w:t>
      </w:r>
    </w:p>
    <w:p>
      <w:pPr>
        <w:pStyle w:val="Title"/>
      </w:pPr>
      <w:r>
        <w:t xml:space="preserve">Public Interest in Patent Law</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Patents are granted to benefit the public: the statutory statement of principle and its use in compulsory licensing and injunctions.</w:t>
      </w:r>
    </w:p>
    <w:p>
      <w:pPr>
        <w:pStyle w:val="Guidance"/>
      </w:pPr>
      <w:r>
        <w:t xml:space="preserve">Authorities to start from. These are places to begin, listed by the editors. Read each one in the original and check the citation before you rely on it.</w:t>
      </w:r>
    </w:p>
    <w:p>
      <w:pPr>
        <w:pStyle w:val="Bullet"/>
      </w:pPr>
      <w:r>
        <w:t xml:space="preserve">•  Patents Act, 1970, §§ 83, 84</w:t>
      </w:r>
    </w:p>
    <w:p>
      <w:pPr>
        <w:pStyle w:val="Bullet"/>
      </w:pPr>
      <w:r>
        <w:t xml:space="preserve">•  Bayer Corpn. v. Union of India, 2014 SCC OnLine Bom 963</w:t>
      </w:r>
    </w:p>
    <w:p>
      <w:pPr>
        <w:pStyle w:val="Bullet"/>
      </w:pPr>
      <w:r>
        <w:t xml:space="preserve">•  Novartis AG v. Union of India, (2013) 6 SCC 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https://fpr.iura.in/principles/public-interest-in-patents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