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PR-0079 · Evidence</w:t>
      </w:r>
    </w:p>
    <w:p>
      <w:pPr>
        <w:pStyle w:val="Title"/>
      </w:pPr>
      <w:r>
        <w:t xml:space="preserve">Quality, Not Quantity, of Evidence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no particular number of witnesses is needed, and the three classes into which a single witness may fall.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134 (now Bharatiya Sakshya Adhiniyam, 2023, § 139)</w:t>
      </w:r>
    </w:p>
    <w:p>
      <w:pPr>
        <w:pStyle w:val="Bullet"/>
      </w:pPr>
      <w:r>
        <w:t xml:space="preserve">•  Vadivelu Thevar v. State of Madras, AIR 1957 SC 614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https://fpr.iura.in/principles/quality-not-quantity-of-evidence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