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PR-0147 · Human Rights</w:t>
      </w:r>
    </w:p>
    <w:p>
      <w:pPr>
        <w:pStyle w:val="Title"/>
      </w:pPr>
      <w:r>
        <w:t xml:space="preserve">Reasonable Accommodation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duty to make adjustments so that persons with disabilities can enjoy rights equally, short of undue burden.</w:t>
      </w:r>
    </w:p>
    <w:p>
      <w:pPr>
        <w:pStyle w:val="Guidance"/>
      </w:pPr>
      <w:r>
        <w:t xml:space="preserve">Authorities to start from. These are places to begin, listed by the editors. Read each one in the original and check the citation before you rely on it.</w:t>
      </w:r>
    </w:p>
    <w:p>
      <w:pPr>
        <w:pStyle w:val="Bullet"/>
      </w:pPr>
      <w:r>
        <w:t xml:space="preserve">•  Rights of Persons with Disabilities Act, 2016, § 2(y)</w:t>
      </w:r>
    </w:p>
    <w:p>
      <w:pPr>
        <w:pStyle w:val="Bullet"/>
      </w:pPr>
      <w:r>
        <w:t xml:space="preserve">•  Vikash Kumar v. UPSC, (2021) 5 SCC 370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https://fpr.iura.in/principles/reasonable-accommodation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