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PR-0069 · Criminal</w:t>
      </w:r>
    </w:p>
    <w:p>
      <w:pPr>
        <w:pStyle w:val="Title"/>
      </w:pPr>
      <w:r>
        <w:t xml:space="preserve">Reformative Sentencing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view that the aim of punishment is the reform of the offender, and its influence on sentencing and prison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Mohd. Giasuddin v. State of A.P., (1977) 3 SCC 287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https://fpr.iura.in/principles/reformative-sentencing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