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PR-0159 · International (Public)</w:t>
      </w:r>
    </w:p>
    <w:p>
      <w:pPr>
        <w:pStyle w:val="Title"/>
      </w:pPr>
      <w:r>
        <w:t xml:space="preserve">Reparation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a State responsible for a wrongful act must wipe out its consequences as far as possible.</w:t>
      </w:r>
    </w:p>
    <w:p>
      <w:pPr>
        <w:pStyle w:val="Guidance"/>
      </w:pPr>
      <w:r>
        <w:t xml:space="preserve">Authorities to start from. These are places to begin, listed by the editors. Read each one in the original and check the citation before you rely on it.</w:t>
      </w:r>
    </w:p>
    <w:p>
      <w:pPr>
        <w:pStyle w:val="Bullet"/>
      </w:pPr>
      <w:r>
        <w:t xml:space="preserve">•  Factory at Chorzów (Ger. v. Pol.), 1928 P.C.I.J. (ser. A) No. 17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https://fpr.iura.in/principles/reparation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