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PR-0006 · Constitutional</w:t>
      </w:r>
    </w:p>
    <w:p>
      <w:pPr>
        <w:pStyle w:val="Title"/>
      </w:pPr>
      <w:r>
        <w:t xml:space="preserve">The Rule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Dicey’s idea in Indian hands: government under law, equality before law, and its place in the basic structure.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Indira Nehru Gandhi v. Raj Narain, 1975 Supp SCC 1</w:t>
      </w:r>
    </w:p>
    <w:p>
      <w:pPr>
        <w:pStyle w:val="Bullet"/>
      </w:pPr>
      <w:r>
        <w:t xml:space="preserve">•  ADM Jabalpur v. Shivkant Shukla, (1976) 2 SCC 521 (Khanna, J., dissenting)</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https://fpr.iura.in/principles/rule-of-law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