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PR-0169 · Constitutional</w:t>
      </w:r>
    </w:p>
    <w:p>
      <w:pPr>
        <w:pStyle w:val="Title"/>
      </w:pPr>
      <w:r>
        <w:t xml:space="preserve">Secrecy of the Ballot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voter’s right not to disclose how they voted, and why it gives way to the purity of the election.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 Raghbir Singh Gill v. S. Gurcharan Singh Tohra, 1980 Supp SCC 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https://fpr.iura.in/principles/secrecy-of-the-ballot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