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PR-0015 · Criminal</w:t>
      </w:r>
    </w:p>
    <w:p>
      <w:pPr>
        <w:pStyle w:val="Title"/>
      </w:pPr>
      <w:r>
        <w:t xml:space="preserve">Speedy Trial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Delay as a violation of Article 21: why the Court refused to fix time limits, and what an accused can obtain.</w:t>
      </w:r>
    </w:p>
    <w:p>
      <w:pPr>
        <w:pStyle w:val="Guidance"/>
      </w:pPr>
      <w:r>
        <w:t xml:space="preserve">Authorities to start from. These are places to begin, listed by the editors. Read each one in the original and check the citation before you rely on it.</w:t>
      </w:r>
    </w:p>
    <w:p>
      <w:pPr>
        <w:pStyle w:val="Bullet"/>
      </w:pPr>
      <w:r>
        <w:t xml:space="preserve">•  Hussainara Khatoon v. State of Bihar, (1980) 1 SCC 81</w:t>
      </w:r>
    </w:p>
    <w:p>
      <w:pPr>
        <w:pStyle w:val="Bullet"/>
      </w:pPr>
      <w:r>
        <w:t xml:space="preserve">•  Abdul Rehman Antulay v. R.S. Nayak, (1992) 1 SCC 225</w:t>
      </w:r>
    </w:p>
    <w:p>
      <w:pPr>
        <w:pStyle w:val="Bullet"/>
      </w:pPr>
      <w:r>
        <w:t xml:space="preserve">•  P. Ramachandra Rao v. State of Karnataka, (2002) 4 SCC 578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https://fpr.iura.in/principles/speedy-trial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