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PR-0020 · Environment</w:t>
      </w:r>
    </w:p>
    <w:p>
      <w:pPr>
        <w:pStyle w:val="Title"/>
      </w:pPr>
      <w:r>
        <w:t xml:space="preserve">Sustainable Development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balancing concept between development and ecology, and whether it decides cases or only describes their outcome.</w:t>
      </w:r>
    </w:p>
    <w:p>
      <w:pPr>
        <w:pStyle w:val="Guidance"/>
      </w:pPr>
      <w:r>
        <w:t xml:space="preserve">Authorities to start from. These are places to begin, listed by the editors. Read each one in the original and check the citation before you rely on it.</w:t>
      </w:r>
    </w:p>
    <w:p>
      <w:pPr>
        <w:pStyle w:val="Bullet"/>
      </w:pPr>
      <w:r>
        <w:t xml:space="preserve">•  Vellore Citizens’ Welfare Forum v. Union of India, (1996) 5 SCC 647</w:t>
      </w:r>
    </w:p>
    <w:p>
      <w:pPr>
        <w:pStyle w:val="Bullet"/>
      </w:pPr>
      <w:r>
        <w:t xml:space="preserve">•  Narmada Bachao Andolan v. Union of India, (2000) 10 SCC 664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https://fpr.iura.in/principles/sustainable-development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